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95" w:rsidRPr="00481B88" w:rsidRDefault="00DF5E95" w:rsidP="00DF5E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color w:val="000000"/>
          <w:sz w:val="28"/>
          <w:szCs w:val="28"/>
        </w:rPr>
        <w:t>2020-3</w:t>
      </w:r>
    </w:p>
    <w:p w:rsidR="00DF5E95" w:rsidRPr="00481B88" w:rsidRDefault="00DF5E95" w:rsidP="00DF5E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color w:val="000000"/>
          <w:sz w:val="28"/>
          <w:szCs w:val="28"/>
        </w:rPr>
        <w:t>ТЕОРИЯ И ПРАКТИКА МЕДИЦИНЫ</w:t>
      </w:r>
    </w:p>
    <w:p w:rsidR="00DF5E95" w:rsidRPr="00481B88" w:rsidRDefault="00DF5E95" w:rsidP="00DF5E95">
      <w:pPr>
        <w:pStyle w:val="Pa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Style w:val="A8"/>
          <w:rFonts w:ascii="Times New Roman" w:hAnsi="Times New Roman" w:cs="Times New Roman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Достиев Л.Р., </w:t>
      </w:r>
      <w:r w:rsidRPr="00481B88">
        <w:rPr>
          <w:rStyle w:val="A8"/>
          <w:rFonts w:ascii="Times New Roman" w:hAnsi="Times New Roman" w:cs="Times New Roman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Фатхуллоев З.К., </w:t>
      </w:r>
      <w:r w:rsidRPr="00481B88">
        <w:rPr>
          <w:rStyle w:val="A8"/>
          <w:rFonts w:ascii="Times New Roman" w:hAnsi="Times New Roman" w:cs="Times New Roman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Шамсзода Х.А., </w:t>
      </w:r>
      <w:r w:rsidRPr="00481B88">
        <w:rPr>
          <w:rStyle w:val="A8"/>
          <w:rFonts w:ascii="Times New Roman" w:hAnsi="Times New Roman" w:cs="Times New Roman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Наимов С.Р. </w:t>
      </w:r>
    </w:p>
    <w:p w:rsidR="00DF5E95" w:rsidRPr="00481B88" w:rsidRDefault="00DF5E95" w:rsidP="00DF5E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ЭФФЕКТИВНОСТЬ ПЕРИДУРАЛЬНОЙ АНАЛЬГЕЗИИ В ПОСЛЕОПЕРАЦИОННОМ ПЕРИОДЕ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Изучение результатов лечения острой послеоперационной боли после абдоминальных вмешательств на основе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перидуральной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анальгезии. </w:t>
      </w:r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Обследовано 84 пациента, перенесших операции на органах брюшной полости, находившихся в раннем послеоперационном периоде на лечении в отделении реанимации и интенсивной терапии. </w:t>
      </w:r>
      <w:proofErr w:type="gramEnd"/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Критерием эффективности проводимой послеоперационной анальгезии считаем снижение интенсивности болевого синдрома более 3 баллов из 10. При исходной оценке силы боли по визуальной ана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логовой шкале после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экстубации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в покое и при кашле не было выявлено достоверных межгрупповых отличий.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Метод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перидуральной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анальгезии позволяет быстрее сформировать и поддерживать адекватное обезболивание на необходимом уровне, по сравнению с традиционными методиками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перидуральной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анальгезии, и способствует снижению риска развития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опиоид-обусловленных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побочных эффектов. </w:t>
      </w:r>
    </w:p>
    <w:p w:rsidR="00DF5E95" w:rsidRPr="00481B88" w:rsidRDefault="00DF5E95" w:rsidP="00DF5E95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proofErr w:type="spellStart"/>
      <w:r w:rsidRPr="00481B88">
        <w:rPr>
          <w:rStyle w:val="A7"/>
          <w:rFonts w:ascii="Times New Roman" w:hAnsi="Times New Roman" w:cs="Times New Roman"/>
        </w:rPr>
        <w:t>перидуральная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 анальгезия, послеоперационный период, интенсивная терапия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Зарифов Ш.,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1,2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Мурадов А.М.,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1,2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Мурадов А.А.,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1,2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Шумилина О.В. </w:t>
      </w:r>
    </w:p>
    <w:p w:rsidR="00DF5E95" w:rsidRPr="00481B88" w:rsidRDefault="00DF5E95" w:rsidP="00DF5E95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ВЛИЯНИЕ КОМБИНАЦИИ ПЛАЗМАФЕРЕЗА И НЕПРЯМОГО ЭЛЕКТРОХИМИЧЕСКОГО ОКИСЛЕНИЯ НА НЕКОТОРЫЕ ПОКАЗАТЕЛИ ТОКСИЧНОСТИ ПРИ ОСТРОЙ ПЕЧЕНОЧНОЙ НЕДОСТАТОЧНОСТИ 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Кафедра эфферентной медицины и интенсивной терапии ГОУ </w:t>
      </w:r>
      <w:proofErr w:type="spellStart"/>
      <w:r w:rsidRPr="00481B88">
        <w:rPr>
          <w:rFonts w:ascii="Times New Roman" w:hAnsi="Times New Roman" w:cs="Times New Roman"/>
          <w:color w:val="000000"/>
        </w:rPr>
        <w:t>ИПОвСЗ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DF5E95" w:rsidRPr="00481B88" w:rsidRDefault="00DF5E95" w:rsidP="00DF5E95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2</w:t>
      </w:r>
      <w:r w:rsidRPr="00481B88">
        <w:rPr>
          <w:rFonts w:ascii="Times New Roman" w:hAnsi="Times New Roman" w:cs="Times New Roman"/>
          <w:color w:val="000000"/>
        </w:rPr>
        <w:t xml:space="preserve">ГУ «Городской научный центр реанимации и </w:t>
      </w:r>
      <w:proofErr w:type="spellStart"/>
      <w:r w:rsidRPr="00481B88">
        <w:rPr>
          <w:rFonts w:ascii="Times New Roman" w:hAnsi="Times New Roman" w:cs="Times New Roman"/>
          <w:color w:val="000000"/>
        </w:rPr>
        <w:t>детоксикации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» УЗ </w:t>
      </w:r>
      <w:proofErr w:type="gramStart"/>
      <w:r w:rsidRPr="00481B88">
        <w:rPr>
          <w:rFonts w:ascii="Times New Roman" w:hAnsi="Times New Roman" w:cs="Times New Roman"/>
          <w:color w:val="000000"/>
        </w:rPr>
        <w:t>г</w:t>
      </w:r>
      <w:proofErr w:type="gramEnd"/>
      <w:r w:rsidRPr="00481B88">
        <w:rPr>
          <w:rFonts w:ascii="Times New Roman" w:hAnsi="Times New Roman" w:cs="Times New Roman"/>
          <w:color w:val="000000"/>
        </w:rPr>
        <w:t>. Душанбе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ления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на некоторые показатели токсичности крови при острой почечной недостаточности.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>Изучены результаты лечения 60 больных с острой печеночной недостаточностью (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>ОпечН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 xml:space="preserve">) различной этиологии и 30 практически здоровых добровольцев. Основная группа условно разделена на три группы в зависимости от тяжести по APACHE III.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 xml:space="preserve">Больные тяжелой и крайне тяжелой степеней в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зависимости от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иетодов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лечения условно подразделены на 2 подгруппы: 1-я – 26 больных, которым проводи</w:t>
      </w:r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softHyphen/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лась комплексная интенсивная терапия с высокообъемным мембранным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плазмаферезом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; 2-я – 10 больных,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 xml:space="preserve">которым была проведена комплексная интенсивная терапия с высокообъемным мембранным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>плазмафе</w:t>
      </w:r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softHyphen/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резом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непрямым электрохимическим окислением крови;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3-я – 10 больных – комплексная интенсивная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 xml:space="preserve">терапия проводилась с высокообъемным мембранным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>плазмаферезом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6"/>
          <w:szCs w:val="16"/>
        </w:rPr>
        <w:t xml:space="preserve"> и непрямым электрохимическим окислением плазмы.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Оценивали показатели билирубина,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аланинаминотрансфераз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s</w:t>
      </w:r>
      <w:proofErr w:type="spellEnd"/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(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АлТ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) 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аспартатаминотрансферазs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(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АсТ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) до и после лечения.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Результаты.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Для тяжелых и крайне тяжелых больных представляет особый интерес комбинация комплекс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ной интенсивной терапии с высокообъемным мембранным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плазмаферезом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и непрямым электрохимическим окислением плазмы, так как эти методы не воздействует негативно на клетки крови и систему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гемостатаза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in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vivo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, не дают побочных эффектов, обладают дополнительным эффектом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детоксикации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вследствие эффекта гипотермии, вызывая дополнительно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криопреципитацию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криобелков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, что потенцирует методику непрямого электрохимического окисления плазмы. </w:t>
      </w:r>
      <w:proofErr w:type="gramEnd"/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У больных 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ОПечН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для коррекции синдрома эндогенной интоксикации 1 степени рекомен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>дуется проведение консервативной комплексной интенсивной терапии (КИТ), при 2-3 степенях – КИТ в сочета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нии с высокообъемным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плазмоферезом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непрямым электрохимическим окислением. Экстракорпоральную коррекцию рекомендуется проводить «интенсивным методом» в течение 24-48 часов по 3-4 сеанса. </w:t>
      </w:r>
    </w:p>
    <w:p w:rsidR="00DF5E95" w:rsidRPr="00481B88" w:rsidRDefault="00DF5E95" w:rsidP="00DF5E95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непрямое электрохимическое окисление плазмы, непрямое электрохимическое окисление крови, </w:t>
      </w:r>
      <w:proofErr w:type="spellStart"/>
      <w:r w:rsidRPr="00481B88">
        <w:rPr>
          <w:rStyle w:val="A7"/>
          <w:rFonts w:ascii="Times New Roman" w:hAnsi="Times New Roman" w:cs="Times New Roman"/>
        </w:rPr>
        <w:t>плаз</w:t>
      </w:r>
      <w:r w:rsidRPr="00481B88">
        <w:rPr>
          <w:rStyle w:val="A7"/>
          <w:rFonts w:ascii="Times New Roman" w:hAnsi="Times New Roman" w:cs="Times New Roman"/>
        </w:rPr>
        <w:softHyphen/>
        <w:t>маферез</w:t>
      </w:r>
      <w:proofErr w:type="spellEnd"/>
      <w:r w:rsidRPr="00481B88">
        <w:rPr>
          <w:rStyle w:val="A7"/>
          <w:rFonts w:ascii="Times New Roman" w:hAnsi="Times New Roman" w:cs="Times New Roman"/>
        </w:rPr>
        <w:t>, острая печеночная недостаточность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1,2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Икромов Т.Ш.,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Ибодов Х.И.,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Мурадов А.М.,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Асадов С.К.,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3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Шумилина М.В. </w:t>
      </w:r>
    </w:p>
    <w:p w:rsidR="00DF5E95" w:rsidRPr="00481B88" w:rsidRDefault="00DF5E95" w:rsidP="00DF5E95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ФУНКЦИОНАЛЬНОГО СОСТОЯНИЯ ПОЧЕК У ДЕТЕЙ С УРОЛИТИАЗОМ, </w:t>
      </w:r>
      <w:proofErr w:type="gramStart"/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ОСЛОЖНЕННЫМ</w:t>
      </w:r>
      <w:proofErr w:type="gramEnd"/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ХРОНИЧЕСКОЙ БОЛЕЗНЬЮ ПОЧЕК 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ГУ «Республиканский научно-клинический центр педиатрии и детской хирургии» </w:t>
      </w:r>
      <w:proofErr w:type="spellStart"/>
      <w:r w:rsidRPr="00481B88">
        <w:rPr>
          <w:rFonts w:ascii="Times New Roman" w:hAnsi="Times New Roman" w:cs="Times New Roman"/>
          <w:color w:val="000000"/>
        </w:rPr>
        <w:t>МЗиСЗН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2</w:t>
      </w:r>
      <w:r w:rsidRPr="00481B88">
        <w:rPr>
          <w:rFonts w:ascii="Times New Roman" w:hAnsi="Times New Roman" w:cs="Times New Roman"/>
          <w:color w:val="000000"/>
        </w:rPr>
        <w:t>ГОУ «Институт последипломного образования в сфере здравоохранения Республики Тад</w:t>
      </w:r>
      <w:r w:rsidRPr="00481B88">
        <w:rPr>
          <w:rFonts w:ascii="Times New Roman" w:hAnsi="Times New Roman" w:cs="Times New Roman"/>
          <w:color w:val="000000"/>
        </w:rPr>
        <w:softHyphen/>
        <w:t xml:space="preserve">жикистан» </w:t>
      </w:r>
    </w:p>
    <w:p w:rsidR="00DF5E95" w:rsidRPr="00481B88" w:rsidRDefault="00DF5E95" w:rsidP="00DF5E95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lastRenderedPageBreak/>
        <w:t>3</w:t>
      </w:r>
      <w:r w:rsidRPr="00481B88">
        <w:rPr>
          <w:rFonts w:ascii="Times New Roman" w:hAnsi="Times New Roman" w:cs="Times New Roman"/>
          <w:color w:val="000000"/>
        </w:rPr>
        <w:t>Федеральное государственное автономное образовательное учреждение высшего образова</w:t>
      </w:r>
      <w:r w:rsidRPr="00481B88">
        <w:rPr>
          <w:rFonts w:ascii="Times New Roman" w:hAnsi="Times New Roman" w:cs="Times New Roman"/>
          <w:color w:val="000000"/>
        </w:rPr>
        <w:softHyphen/>
        <w:t>ния "Российский национальный исследовательский медицинский университет имени Н.И. Пирогова" Министерства здравоохранения Российской Федерации, Российская Федерация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Изучить функциональное состояние почек у детей 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уролитиазом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,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осложненным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хро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нической болезнью почек. </w:t>
      </w:r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Изучено функциональное состояние почек у 187 детей 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уролитиазом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,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осложненным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ХБП, в возрасте от 3 до 18 лет. </w:t>
      </w:r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Состояние больных оценивалось по шкале АРАСНЕ II, стадии хронического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калькулезного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пиелонефрита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(ХКП)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-п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о Н.А. Лопаткину-Пугачеву (1979), стадии хронической болезни почек (ХБП) -по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рекомендациzv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NKF-K/DOQI (2003). </w:t>
      </w:r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У наблюдаемых больных 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уролитиазом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,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осложненным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ХБП, многообразие клинических симптомов, характерных для уремической интоксикации, проявлялось на фоне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полиорганного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поражения организма. Исследование функционального состояния почек показало, что гомеостаз у детей имеет прямую зависимость от тяжести воспали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тельного процесса, стадии ХКП, ГН и хронической болезни почек, а также сопутствующей патологии. </w:t>
      </w:r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Функциональное состояние почек у детей 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уролитиазом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связано с тяжестью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калькулезного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пиело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>нефрита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гидронефроза, степенью и активностью воспалительного процесса, состоянием патологического процесса, а также развитием и стадией хронической болезни почек. </w:t>
      </w:r>
    </w:p>
    <w:p w:rsidR="00DF5E95" w:rsidRPr="00481B88" w:rsidRDefault="00DF5E95" w:rsidP="00DF5E95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дети, </w:t>
      </w:r>
      <w:proofErr w:type="spellStart"/>
      <w:r w:rsidRPr="00481B88">
        <w:rPr>
          <w:rStyle w:val="A7"/>
          <w:rFonts w:ascii="Times New Roman" w:hAnsi="Times New Roman" w:cs="Times New Roman"/>
        </w:rPr>
        <w:t>уролитиаз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</w:t>
      </w:r>
      <w:proofErr w:type="spellStart"/>
      <w:r w:rsidRPr="00481B88">
        <w:rPr>
          <w:rStyle w:val="A7"/>
          <w:rFonts w:ascii="Times New Roman" w:hAnsi="Times New Roman" w:cs="Times New Roman"/>
        </w:rPr>
        <w:t>калькулезный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</w:rPr>
        <w:t>пиелонефрит</w:t>
      </w:r>
      <w:proofErr w:type="spellEnd"/>
      <w:r w:rsidRPr="00481B88">
        <w:rPr>
          <w:rStyle w:val="A7"/>
          <w:rFonts w:ascii="Times New Roman" w:hAnsi="Times New Roman" w:cs="Times New Roman"/>
        </w:rPr>
        <w:t>, хроническая болезнь почек, функции почек</w:t>
      </w:r>
    </w:p>
    <w:p w:rsidR="00DF5E95" w:rsidRPr="00481B88" w:rsidRDefault="00DF5E95" w:rsidP="00DF5E95">
      <w:pPr>
        <w:pStyle w:val="Pa22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Касымов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О.И.,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Сохибназарова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Р.Х.,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Муниева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С.Х.,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Касымов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А.О. </w:t>
      </w:r>
    </w:p>
    <w:p w:rsidR="00DF5E95" w:rsidRPr="00481B88" w:rsidRDefault="00DF5E95" w:rsidP="00DF5E95">
      <w:pPr>
        <w:pStyle w:val="Pa20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ЭФФЕКТИВНОСТЬ КОМПЛЕКСНОГО МЕТОДА ЛЕЧЕНИЯ БОЛЬНЫХ ВИТИЛИГО </w:t>
      </w:r>
    </w:p>
    <w:p w:rsidR="00DF5E95" w:rsidRPr="00481B88" w:rsidRDefault="00DF5E95" w:rsidP="00DF5E95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</w:rPr>
        <w:t xml:space="preserve">Кафедра дерматовенерологии с курсом косметологии ГОУ </w:t>
      </w:r>
      <w:proofErr w:type="spellStart"/>
      <w:r w:rsidRPr="00481B88">
        <w:rPr>
          <w:rFonts w:ascii="Times New Roman" w:hAnsi="Times New Roman" w:cs="Times New Roman"/>
          <w:color w:val="000000"/>
        </w:rPr>
        <w:t>ИПОвСЗ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ванием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пигментина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хлорметина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гидрохлорида.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Обследовано 77 больных витилиго (43 мужчины, 34 женщины) в возрасте от 15 до 60 лет. Распространенные формы заболевания наблюдались у 57 (74%) больных, локализованные – у 20 (26%). Пер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вая группа (20 больных) получила лечение лекарственными средствами, наиболее часто применяемыми при витилиго, вторая (27 пациентов) – сочетанное лечение традиционными средствами 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пигментином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хлормети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>ном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гидрохлоридом, третья (30 человек) – комплексное лечение препаратами, назначенными второй группе, в сочетании 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метилпреднизолоном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Методы исследования: клинические, иммунологические, статистические.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Предложенный комплексный метод лечения больных витилиго в 1,6 раза показал лучшие результаты, чем традиционные средства, и на 27% – чем сочетанное лечение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пигментином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хлорметином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ги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дрохлоридом.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Положительные и удовлетворительные результаты при комплексном лечении достигнуты у 80% больных витилиго, при традиционном – у 50%, при сочетанном – у 62,9%. </w:t>
      </w:r>
      <w:proofErr w:type="gramEnd"/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Разработанный комплексный метод лечения больных витилиго может быть рекомендован для широкого использования в дерматологической практике. </w:t>
      </w:r>
    </w:p>
    <w:p w:rsidR="00DF5E95" w:rsidRPr="00481B88" w:rsidRDefault="00DF5E95" w:rsidP="00DF5E95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больные витилиго, </w:t>
      </w:r>
      <w:proofErr w:type="spellStart"/>
      <w:r w:rsidRPr="00481B88">
        <w:rPr>
          <w:rStyle w:val="A7"/>
          <w:rFonts w:ascii="Times New Roman" w:hAnsi="Times New Roman" w:cs="Times New Roman"/>
        </w:rPr>
        <w:t>цитокины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лечение, </w:t>
      </w:r>
      <w:proofErr w:type="spellStart"/>
      <w:r w:rsidRPr="00481B88">
        <w:rPr>
          <w:rStyle w:val="A7"/>
          <w:rFonts w:ascii="Times New Roman" w:hAnsi="Times New Roman" w:cs="Times New Roman"/>
        </w:rPr>
        <w:t>пигментин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</w:t>
      </w:r>
      <w:proofErr w:type="spellStart"/>
      <w:r w:rsidRPr="00481B88">
        <w:rPr>
          <w:rStyle w:val="A7"/>
          <w:rFonts w:ascii="Times New Roman" w:hAnsi="Times New Roman" w:cs="Times New Roman"/>
        </w:rPr>
        <w:t>метилпреднизолон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</w:t>
      </w:r>
      <w:proofErr w:type="spellStart"/>
      <w:r w:rsidRPr="00481B88">
        <w:rPr>
          <w:rStyle w:val="A7"/>
          <w:rFonts w:ascii="Times New Roman" w:hAnsi="Times New Roman" w:cs="Times New Roman"/>
        </w:rPr>
        <w:t>хлорметинаги</w:t>
      </w:r>
      <w:r w:rsidRPr="00481B88">
        <w:rPr>
          <w:rStyle w:val="A7"/>
          <w:rFonts w:ascii="Times New Roman" w:hAnsi="Times New Roman" w:cs="Times New Roman"/>
        </w:rPr>
        <w:softHyphen/>
        <w:t>дрохлорид</w:t>
      </w:r>
      <w:proofErr w:type="spellEnd"/>
    </w:p>
    <w:p w:rsidR="00DF5E95" w:rsidRPr="00481B88" w:rsidRDefault="00DF5E95" w:rsidP="00DF5E95">
      <w:pPr>
        <w:pStyle w:val="Pa22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Мадмаров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Л.М. </w:t>
      </w:r>
    </w:p>
    <w:p w:rsidR="00DF5E95" w:rsidRPr="00481B88" w:rsidRDefault="00DF5E95" w:rsidP="00DF5E95">
      <w:pPr>
        <w:pStyle w:val="Pa20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СИСТЕМЫ ГЕМОСТАЗА У РОДИЛЬНИЦ С ОСТРЫМИ МАССИВНЫМИ КРОВОПОТЕРЯМИ ПО ДАННЫМ ТРОМБОЭЛАСТОГРАММЫ В БАССЕЙНАХ ВЕНОЗНОЙ КУБИТАЛЬНОЙ И ЛУЧЕВОЙ АРТЕРИАЛЬНОЙ КРОВИ ДО И ПОСЛЕ КОМПЛЕКСНОЙ ИНТЕНСИВНОЙ ТЕРАПИИ </w:t>
      </w:r>
    </w:p>
    <w:p w:rsidR="00DF5E95" w:rsidRPr="00481B88" w:rsidRDefault="00DF5E95" w:rsidP="00DF5E95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</w:rPr>
        <w:t xml:space="preserve">ГУ «Республиканский научный центр крови» </w:t>
      </w:r>
      <w:proofErr w:type="spellStart"/>
      <w:r w:rsidRPr="00481B88">
        <w:rPr>
          <w:rFonts w:ascii="Times New Roman" w:hAnsi="Times New Roman" w:cs="Times New Roman"/>
          <w:color w:val="000000"/>
        </w:rPr>
        <w:t>МЗиСЗН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Выявить особенности системы гемостаза в различных бассейнах сосудистого русла у родильниц с острыми массивными акушерскими кровопотерями (ОМАК) и в зависимости от ранней диагно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стики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коагулопатий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разработать новую программу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инфузионно-трансфузионной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терапии. </w:t>
      </w:r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Проанализированы результаты комплексного подхода, изучены и сравнены показатели гемостаза по данным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тромбоэластографии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(ТЭГ) в различный бассейнах сосудистого русла у 106 родильниц с острыми массивными кровопотерями по данным вызовов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реанимационно-трансфузиологической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бригады с лабораторией гемостаза. </w:t>
      </w:r>
      <w:proofErr w:type="gramEnd"/>
    </w:p>
    <w:p w:rsidR="00DF5E95" w:rsidRPr="00481B88" w:rsidRDefault="00DF5E95" w:rsidP="00DF5E95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У родильниц с ОАМК по данным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тромбоэластограммы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имеются выраженные сдвиги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коагуляцион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>ного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звена гемостаза: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гиперкоагуляционная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гипокоагуляционная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фазы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ДВС-синдрома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, что необходимо учитывать при составлении плана лечения.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У родильниц с ОМАК при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гипер-или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гипокоагуляционной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фазах нарушений гемостаза в про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грамму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инфузионно-трансфузионной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терапии следует включать заранее заготовленные компоненты крови от специфических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lastRenderedPageBreak/>
        <w:t xml:space="preserve">доноров с учетом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коагуляционного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потенциала крови, т.е. с преимущественным содержанием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гипо-или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гиперкоагулянтов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. </w:t>
      </w:r>
    </w:p>
    <w:p w:rsidR="00DF5E95" w:rsidRPr="00481B88" w:rsidRDefault="00DF5E95" w:rsidP="00DF5E95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острые массивные акушерские кровопотери, родильницы, гемостаз, </w:t>
      </w:r>
      <w:proofErr w:type="spellStart"/>
      <w:r w:rsidRPr="00481B88">
        <w:rPr>
          <w:rStyle w:val="A7"/>
          <w:rFonts w:ascii="Times New Roman" w:hAnsi="Times New Roman" w:cs="Times New Roman"/>
        </w:rPr>
        <w:t>инфузионно-трансфузионная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 терапия, донор, компоненты крови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>Нозиров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 Дж.Х.,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>Мусамиров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 Р.Х.,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>Нозиров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 А.Дж. </w:t>
      </w:r>
    </w:p>
    <w:p w:rsidR="00DF5E95" w:rsidRPr="00481B88" w:rsidRDefault="00DF5E95" w:rsidP="00DF5E95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РАСПРОСТРАНЕНИЯ ГИПОДИНАМИИ СРЕДИ НЕОРГАНИЗОВАННОЙ ПОПУЛЯЦИИ ДЕВАШТИЧСКОГО РАЙОНА СОГДИЙСКОЙ ОБЛАСТИ </w:t>
      </w:r>
    </w:p>
    <w:p w:rsidR="00DF5E95" w:rsidRPr="00481B88" w:rsidRDefault="00DF5E95" w:rsidP="00DF5E95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</w:rPr>
        <w:t xml:space="preserve">Кафедра кардиологии с курсом клинической фармакологии ГОУ </w:t>
      </w:r>
      <w:proofErr w:type="spellStart"/>
      <w:r w:rsidRPr="00481B88">
        <w:rPr>
          <w:rFonts w:ascii="Times New Roman" w:hAnsi="Times New Roman" w:cs="Times New Roman"/>
          <w:color w:val="000000"/>
        </w:rPr>
        <w:t>ИПОвСЗ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Изучить особенности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распространенности отдельных поведенческих факторов ри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>ска ишемической болезни сердца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среди неорганизованной популяции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Деваштичского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района Согдийской области.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Объектом исследования явились 3024 человек в возрасте 15-59 лет, 1368 мужчин (45,2%)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и 1656 женщин (54,8%). Опрос для выявления гиподинамии проводился по стандартной методике, согласно рекомендациям ВОЗ, при помощи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опросника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Роуза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. При этом гиподинамию оценивали по двум критериям: проведение 50% и более рабочего времени в положении сидя и/или неактивный досуг; активные движения (бег, ходьба, занятие физкультурой и спортом, работа в огороде, в саду и т.д.) 10 часов и менее в неделю.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Измерение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росто-весового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показателя производилось с помощью линейного ростомера с точностью до 0,5 см и весов «RZD – 220» (Китай) с точностью до 0,1 кг.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Распространенность гиподинамии у обследованных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Деваштичского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района в зависимости от пола и возраста респондентов имела положительную линейную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связь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как с частотой избыточной массы тела,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так и с уровнем ожирения разных степеней, за исключением диапазона 15-24 лет, где низкие уровни избыточной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массы тела и ожирения соответствовали высоким значениям гиподинамии (отрицательная корреляционная связь), что объясняется высокой их занятостью в течение рабочего дня учёбой в учебных заведениях, работой с компьютером, телефоном, просмотром телевизионных передач, а также подготовкой уроков. Гиподинамия в целом также не оказались высоко распространенным поведенческим </w:t>
      </w:r>
      <w:proofErr w:type="spellStart"/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риск-фактором</w:t>
      </w:r>
      <w:proofErr w:type="spellEnd"/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Выявленные особенности в распространенности гиподинамии, избыточной массы тела и ожирения среди населения исследуемого региона с учетом возраста и пола обследованных следует учитывать при организации и проведении профилактических программ органами здравоохранения, в частности, при организации первичной медико-санитарной помощи с привлечением других компетентных органов власти. </w:t>
      </w:r>
    </w:p>
    <w:p w:rsidR="00DF5E95" w:rsidRPr="00481B88" w:rsidRDefault="00DF5E95" w:rsidP="00DF5E95">
      <w:pPr>
        <w:jc w:val="both"/>
        <w:rPr>
          <w:rStyle w:val="A7"/>
          <w:rFonts w:ascii="Times New Roman" w:hAnsi="Times New Roman" w:cs="Times New Roman"/>
        </w:rPr>
      </w:pPr>
      <w:proofErr w:type="gramStart"/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>распространенность, скрининг, факторы риска, гиподинамия, избыточная масса тела, ожирение</w:t>
      </w:r>
      <w:proofErr w:type="gramEnd"/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Олимов Т.Х.,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Шарипов А.А.,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3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Назаров Ш.К.,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4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Холматов Ч.И.,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5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Полвонов Ш.Б. </w:t>
      </w:r>
    </w:p>
    <w:p w:rsidR="00DF5E95" w:rsidRPr="00481B88" w:rsidRDefault="00DF5E95" w:rsidP="00DF5E95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ЭФФЕКТИВНОСТЬ ПРИМЕНЕНИЯ СПОСОБА ДРЕНИРОВАНИЯ В КОМПЛЕКСНОМ ЛЕЧЕНИИ ВЕРХНЕЧЕЛЮСТНОГО СИНУСИТА У ДЕТЕЙ 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Кафедра оториноларингологии ГОУ </w:t>
      </w:r>
      <w:proofErr w:type="spellStart"/>
      <w:r w:rsidRPr="00481B88">
        <w:rPr>
          <w:rFonts w:ascii="Times New Roman" w:hAnsi="Times New Roman" w:cs="Times New Roman"/>
          <w:color w:val="000000"/>
        </w:rPr>
        <w:t>ИПОвСЗ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2</w:t>
      </w:r>
      <w:r w:rsidRPr="00481B88">
        <w:rPr>
          <w:rFonts w:ascii="Times New Roman" w:hAnsi="Times New Roman" w:cs="Times New Roman"/>
          <w:color w:val="000000"/>
        </w:rPr>
        <w:t xml:space="preserve">Кафедра детской хирургии ГОУ ТГМУ </w:t>
      </w:r>
      <w:proofErr w:type="spellStart"/>
      <w:r w:rsidRPr="00481B88">
        <w:rPr>
          <w:rFonts w:ascii="Times New Roman" w:hAnsi="Times New Roman" w:cs="Times New Roman"/>
          <w:color w:val="000000"/>
        </w:rPr>
        <w:t>им</w:t>
      </w:r>
      <w:proofErr w:type="gramStart"/>
      <w:r w:rsidRPr="00481B88">
        <w:rPr>
          <w:rFonts w:ascii="Times New Roman" w:hAnsi="Times New Roman" w:cs="Times New Roman"/>
          <w:color w:val="000000"/>
        </w:rPr>
        <w:t>.А</w:t>
      </w:r>
      <w:proofErr w:type="gramEnd"/>
      <w:r w:rsidRPr="00481B88">
        <w:rPr>
          <w:rFonts w:ascii="Times New Roman" w:hAnsi="Times New Roman" w:cs="Times New Roman"/>
          <w:color w:val="000000"/>
        </w:rPr>
        <w:t>буали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ибн </w:t>
      </w:r>
      <w:proofErr w:type="spellStart"/>
      <w:r w:rsidRPr="00481B88">
        <w:rPr>
          <w:rFonts w:ascii="Times New Roman" w:hAnsi="Times New Roman" w:cs="Times New Roman"/>
          <w:color w:val="000000"/>
        </w:rPr>
        <w:t>Сино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3</w:t>
      </w:r>
      <w:r w:rsidRPr="00481B88">
        <w:rPr>
          <w:rFonts w:ascii="Times New Roman" w:hAnsi="Times New Roman" w:cs="Times New Roman"/>
          <w:color w:val="000000"/>
        </w:rPr>
        <w:t xml:space="preserve">Кафедра хирургической болезни №1 ГОУ ТГМУ им. Абуали ибн </w:t>
      </w:r>
      <w:proofErr w:type="spellStart"/>
      <w:r w:rsidRPr="00481B88">
        <w:rPr>
          <w:rFonts w:ascii="Times New Roman" w:hAnsi="Times New Roman" w:cs="Times New Roman"/>
          <w:color w:val="000000"/>
        </w:rPr>
        <w:t>Сино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</w:t>
      </w:r>
    </w:p>
    <w:p w:rsidR="00DF5E95" w:rsidRPr="00481B88" w:rsidRDefault="00DF5E95" w:rsidP="00DF5E9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4</w:t>
      </w:r>
      <w:r w:rsidRPr="00481B88">
        <w:rPr>
          <w:rFonts w:ascii="Times New Roman" w:hAnsi="Times New Roman" w:cs="Times New Roman"/>
          <w:color w:val="000000"/>
        </w:rPr>
        <w:t xml:space="preserve">Кафедра оториноларингологии ГОУ ТГМУ им. Абуали ибн </w:t>
      </w:r>
      <w:proofErr w:type="spellStart"/>
      <w:r w:rsidRPr="00481B88">
        <w:rPr>
          <w:rFonts w:ascii="Times New Roman" w:hAnsi="Times New Roman" w:cs="Times New Roman"/>
          <w:color w:val="000000"/>
        </w:rPr>
        <w:t>Сино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</w:t>
      </w:r>
    </w:p>
    <w:p w:rsidR="00DF5E95" w:rsidRPr="00481B88" w:rsidRDefault="00DF5E95" w:rsidP="00DF5E95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5</w:t>
      </w:r>
      <w:r w:rsidRPr="00481B88">
        <w:rPr>
          <w:rFonts w:ascii="Times New Roman" w:hAnsi="Times New Roman" w:cs="Times New Roman"/>
          <w:color w:val="000000"/>
        </w:rPr>
        <w:t>Кафедра хирургической болезни ГОУ ТНУ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Дать оценку возможности эффективности применения дренажного катетера в ком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плексной терапии верхнечелюстного синусита у детей.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Исследованы 652 пациента с поражением верхнечелюстной пазухи в возрасте с 4 до 14 лет.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Из них острые гаймориты установлены у 461 больного (70,7%), хронические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-у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191 (29,3%).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>Диагностика верхнечелюстного синусита основывалась на данных анамнеза, результатах клинического обсле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дования и рентгенографии околоносовых пазух. Применялись комплексные методы консервативного лечения, включая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беспункционные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пункционные способы.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Комплексные лечебные мероприятия у 167 (25,6%) пациентов, из них 49 (7,5%) больных с остры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ми и 118 (18,1%) с хроническими гайморитами, включали прокол гайморовой полости с введением дренажа из обычного подключичного катетера с целью эвакуации гнойного содержимого с последующими промываниями полости лекарственными растворами 1-2 раза в сутки и введением лекарственных препаратов.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Данный способ лечения обеспечивал быструю ликвидацию гнойного содержимого полости, тем самым исчезали субъективные и объективные признаки заболевания, восстанавливалось состояние ребёнка. </w:t>
      </w:r>
    </w:p>
    <w:p w:rsidR="00DF5E95" w:rsidRPr="00481B88" w:rsidRDefault="00DF5E95" w:rsidP="00DF5E95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Комплексное консервативное лечение с использованием дренажного катетера при гнойных гайморитах позволяет в большинстве случаев добиться значительного улучшения и ремиссии, тем самым воз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можно избежать хирургического вмешательства в детском возрасте. </w:t>
      </w:r>
    </w:p>
    <w:p w:rsidR="00DF5E95" w:rsidRPr="00481B88" w:rsidRDefault="00DF5E95" w:rsidP="00DF5E95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lastRenderedPageBreak/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>верхнечелюстные синуситы, острый гайморит, хронический гайморит, дренирование, подклю</w:t>
      </w:r>
      <w:r w:rsidRPr="00481B88">
        <w:rPr>
          <w:rStyle w:val="A7"/>
          <w:rFonts w:ascii="Times New Roman" w:hAnsi="Times New Roman" w:cs="Times New Roman"/>
        </w:rPr>
        <w:softHyphen/>
        <w:t>чичный катетер</w:t>
      </w:r>
    </w:p>
    <w:p w:rsidR="00196F6D" w:rsidRPr="00481B88" w:rsidRDefault="00196F6D" w:rsidP="00196F6D">
      <w:pPr>
        <w:pStyle w:val="Pa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Пиров Б.С., </w:t>
      </w: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Одинаев О.М., </w:t>
      </w: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Самадов А.Х., </w:t>
      </w: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Изатшоев А.А. </w:t>
      </w:r>
    </w:p>
    <w:p w:rsidR="00196F6D" w:rsidRPr="00481B88" w:rsidRDefault="00196F6D" w:rsidP="00196F6D">
      <w:pPr>
        <w:pStyle w:val="Pa20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ПРИМЕНЕНИЕ НОВЫХ КОНСЕРВИРУЮЩИХ РАСТВОРОВ ПРИ ТРАНСПЛАНТАЦИИ ПОЧЕК </w:t>
      </w:r>
    </w:p>
    <w:p w:rsidR="00196F6D" w:rsidRPr="00481B88" w:rsidRDefault="00196F6D" w:rsidP="00196F6D">
      <w:pPr>
        <w:pStyle w:val="Pa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Style w:val="A8"/>
          <w:rFonts w:ascii="Times New Roman" w:hAnsi="Times New Roman" w:cs="Times New Roman"/>
        </w:rPr>
        <w:t>1</w:t>
      </w:r>
      <w:r w:rsidRPr="00481B88">
        <w:rPr>
          <w:rFonts w:ascii="Times New Roman" w:hAnsi="Times New Roman" w:cs="Times New Roman"/>
          <w:color w:val="000000"/>
          <w:sz w:val="22"/>
          <w:szCs w:val="22"/>
        </w:rPr>
        <w:t xml:space="preserve">Кафедра хирургических дисциплин </w:t>
      </w:r>
      <w:proofErr w:type="spellStart"/>
      <w:r w:rsidRPr="00481B88">
        <w:rPr>
          <w:rFonts w:ascii="Times New Roman" w:hAnsi="Times New Roman" w:cs="Times New Roman"/>
          <w:color w:val="000000"/>
          <w:sz w:val="22"/>
          <w:szCs w:val="22"/>
        </w:rPr>
        <w:t>Хатлонского</w:t>
      </w:r>
      <w:proofErr w:type="spellEnd"/>
      <w:r w:rsidRPr="00481B88">
        <w:rPr>
          <w:rFonts w:ascii="Times New Roman" w:hAnsi="Times New Roman" w:cs="Times New Roman"/>
          <w:color w:val="000000"/>
          <w:sz w:val="22"/>
          <w:szCs w:val="22"/>
        </w:rPr>
        <w:t xml:space="preserve"> государственного медицинского универ</w:t>
      </w:r>
      <w:r w:rsidRPr="00481B88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ситета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Style w:val="A8"/>
          <w:rFonts w:ascii="Times New Roman" w:hAnsi="Times New Roman" w:cs="Times New Roman"/>
        </w:rPr>
        <w:t>2</w:t>
      </w:r>
      <w:r w:rsidRPr="00481B88">
        <w:rPr>
          <w:rFonts w:ascii="Times New Roman" w:hAnsi="Times New Roman" w:cs="Times New Roman"/>
          <w:color w:val="000000"/>
        </w:rPr>
        <w:t xml:space="preserve">Республиканская клиническая больница </w:t>
      </w:r>
      <w:proofErr w:type="spellStart"/>
      <w:r w:rsidRPr="00481B88">
        <w:rPr>
          <w:rFonts w:ascii="Times New Roman" w:hAnsi="Times New Roman" w:cs="Times New Roman"/>
          <w:color w:val="000000"/>
        </w:rPr>
        <w:t>Дангары</w:t>
      </w:r>
      <w:proofErr w:type="spellEnd"/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Оценить влияние консервирующих растворов на раннюю функцию трансплантата почки.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Проведен анализ 130 историй болезни: 65 (50%) пациентов с терминальной стадией хрони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ческой болезни почек различного генеза и 65 (50%) доноров, которым выполнены трансплантации почек. В основную группу вошли 45 (75%) пациентов, которые в зависимости от вида консервирующего промывающего раствора разделены на 3 подгруппы (растворы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вазапростан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, </w:t>
      </w:r>
      <w:proofErr w:type="spellStart"/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програф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и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МГБ). Контрольная группа состояла из 20 (25%) пациентов, которым применялся раствор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кустадиола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(НТК).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Биохимические показатели у пациентов обеих групп при исследовании были почти оди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наковыми. В контрольной группе мочевина сохранялась почти на одном уровне, при этом отмечалась временная тенденция повышения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креатинина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крови до 129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мкмоль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/л и снижение средних показателей скорости клубочковой фильтрации до 71,83 мл/мин/1,73м</w:t>
      </w:r>
      <w:proofErr w:type="gramStart"/>
      <w:r w:rsidRPr="00481B88">
        <w:rPr>
          <w:rStyle w:val="A12"/>
          <w:rFonts w:ascii="Times New Roman" w:hAnsi="Times New Roman" w:cs="Times New Roman"/>
        </w:rPr>
        <w:t>2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, которая в конце первого месяца после операции восстанавливалась. Дисфункция развилась у 8/45 (17,76%) пациентов основной против 4/20 (20%) пациентов контрольной группы.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Результаты применения консервирующих растворов в основной группе (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вазапростан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, </w:t>
      </w:r>
      <w:proofErr w:type="spellStart"/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програф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МБГ) в зависимости от анатомо-физиологических, иммунологических факторов в новом применении досто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верно не отличаются от применения у всех пациентов контрольной группы (раствор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кустадиола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), который по себестоимости в 12 раз дороже, что экономически невыгодно для пациентов.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трансплантация почки, эксплантация, консервирующие растворы, </w:t>
      </w:r>
      <w:proofErr w:type="spellStart"/>
      <w:r w:rsidRPr="00481B88">
        <w:rPr>
          <w:rStyle w:val="A7"/>
          <w:rFonts w:ascii="Times New Roman" w:hAnsi="Times New Roman" w:cs="Times New Roman"/>
        </w:rPr>
        <w:t>вазапростан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</w:t>
      </w:r>
      <w:proofErr w:type="spellStart"/>
      <w:r w:rsidRPr="00481B88">
        <w:rPr>
          <w:rStyle w:val="A7"/>
          <w:rFonts w:ascii="Times New Roman" w:hAnsi="Times New Roman" w:cs="Times New Roman"/>
        </w:rPr>
        <w:t>програф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МБГ, </w:t>
      </w:r>
      <w:proofErr w:type="spellStart"/>
      <w:r w:rsidRPr="00481B88">
        <w:rPr>
          <w:rStyle w:val="A7"/>
          <w:rFonts w:ascii="Times New Roman" w:hAnsi="Times New Roman" w:cs="Times New Roman"/>
        </w:rPr>
        <w:t>кустадиол</w:t>
      </w:r>
      <w:proofErr w:type="spellEnd"/>
    </w:p>
    <w:p w:rsidR="00196F6D" w:rsidRPr="00481B88" w:rsidRDefault="00196F6D" w:rsidP="00196F6D">
      <w:pPr>
        <w:pStyle w:val="Pa22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Полвонов Ш.Б., </w:t>
      </w: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Назаров Ш.К., </w:t>
      </w: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Абдухалилов З.А., </w:t>
      </w:r>
      <w:r w:rsidRPr="00481B88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Шарипов А.А. </w:t>
      </w:r>
    </w:p>
    <w:p w:rsidR="00196F6D" w:rsidRPr="00481B88" w:rsidRDefault="00196F6D" w:rsidP="00196F6D">
      <w:pPr>
        <w:pStyle w:val="Pa20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ЗНАЧЕНИЕ ТРАХЕОТОМИИ, КАК ОПЕРЕДЕЛЯЮЩИЙ ФАКТОР ТЕЧЕНИЯ НЕКОТОРЫХ ЗАБОЛЕВАНИЙ, УГРОЖАЮЩИХ ЖИЗНИ ПАЦИЕНТОВ </w:t>
      </w:r>
    </w:p>
    <w:p w:rsidR="00196F6D" w:rsidRPr="00481B88" w:rsidRDefault="00196F6D" w:rsidP="00196F6D">
      <w:pPr>
        <w:pStyle w:val="Pa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Style w:val="A8"/>
          <w:rFonts w:ascii="Times New Roman" w:hAnsi="Times New Roman" w:cs="Times New Roman"/>
        </w:rPr>
        <w:t>1</w:t>
      </w:r>
      <w:r w:rsidRPr="00481B88">
        <w:rPr>
          <w:rFonts w:ascii="Times New Roman" w:hAnsi="Times New Roman" w:cs="Times New Roman"/>
          <w:color w:val="000000"/>
          <w:sz w:val="22"/>
          <w:szCs w:val="22"/>
        </w:rPr>
        <w:t xml:space="preserve">Кафедра хирургической болезни ГОУ ТНУ </w:t>
      </w:r>
    </w:p>
    <w:p w:rsidR="00196F6D" w:rsidRPr="00481B88" w:rsidRDefault="00196F6D" w:rsidP="00196F6D">
      <w:pPr>
        <w:pStyle w:val="Pa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Style w:val="A8"/>
          <w:rFonts w:ascii="Times New Roman" w:hAnsi="Times New Roman" w:cs="Times New Roman"/>
        </w:rPr>
        <w:t>2</w:t>
      </w:r>
      <w:r w:rsidRPr="00481B88">
        <w:rPr>
          <w:rFonts w:ascii="Times New Roman" w:hAnsi="Times New Roman" w:cs="Times New Roman"/>
          <w:color w:val="000000"/>
          <w:sz w:val="22"/>
          <w:szCs w:val="22"/>
        </w:rPr>
        <w:t xml:space="preserve">Кафедра хирургической болезни №1 ГОУ ТГМУ им. Абуали ибн </w:t>
      </w:r>
      <w:proofErr w:type="spellStart"/>
      <w:r w:rsidRPr="00481B88">
        <w:rPr>
          <w:rFonts w:ascii="Times New Roman" w:hAnsi="Times New Roman" w:cs="Times New Roman"/>
          <w:color w:val="000000"/>
          <w:sz w:val="22"/>
          <w:szCs w:val="22"/>
        </w:rPr>
        <w:t>Сино</w:t>
      </w:r>
      <w:proofErr w:type="spellEnd"/>
      <w:r w:rsidRPr="00481B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96F6D" w:rsidRPr="00481B88" w:rsidRDefault="00196F6D" w:rsidP="00196F6D">
      <w:pPr>
        <w:pStyle w:val="Pa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Style w:val="A8"/>
          <w:rFonts w:ascii="Times New Roman" w:hAnsi="Times New Roman" w:cs="Times New Roman"/>
        </w:rPr>
        <w:t>3</w:t>
      </w:r>
      <w:r w:rsidRPr="00481B88">
        <w:rPr>
          <w:rFonts w:ascii="Times New Roman" w:hAnsi="Times New Roman" w:cs="Times New Roman"/>
          <w:color w:val="000000"/>
          <w:sz w:val="22"/>
          <w:szCs w:val="22"/>
        </w:rPr>
        <w:t>Отделение оториноларингологии НМЦ «</w:t>
      </w:r>
      <w:proofErr w:type="spellStart"/>
      <w:r w:rsidRPr="00481B88">
        <w:rPr>
          <w:rFonts w:ascii="Times New Roman" w:hAnsi="Times New Roman" w:cs="Times New Roman"/>
          <w:color w:val="000000"/>
          <w:sz w:val="22"/>
          <w:szCs w:val="22"/>
        </w:rPr>
        <w:t>Шифобахш</w:t>
      </w:r>
      <w:proofErr w:type="spellEnd"/>
      <w:r w:rsidRPr="00481B88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Style w:val="A8"/>
          <w:rFonts w:ascii="Times New Roman" w:hAnsi="Times New Roman" w:cs="Times New Roman"/>
        </w:rPr>
        <w:t>4</w:t>
      </w:r>
      <w:r w:rsidRPr="00481B88">
        <w:rPr>
          <w:rFonts w:ascii="Times New Roman" w:hAnsi="Times New Roman" w:cs="Times New Roman"/>
          <w:color w:val="000000"/>
        </w:rPr>
        <w:t xml:space="preserve">Кафедра детской хирургии ГОУ ТГМУ </w:t>
      </w:r>
      <w:proofErr w:type="spellStart"/>
      <w:r w:rsidRPr="00481B88">
        <w:rPr>
          <w:rFonts w:ascii="Times New Roman" w:hAnsi="Times New Roman" w:cs="Times New Roman"/>
          <w:color w:val="000000"/>
        </w:rPr>
        <w:t>им</w:t>
      </w:r>
      <w:proofErr w:type="gramStart"/>
      <w:r w:rsidRPr="00481B88">
        <w:rPr>
          <w:rFonts w:ascii="Times New Roman" w:hAnsi="Times New Roman" w:cs="Times New Roman"/>
          <w:color w:val="000000"/>
        </w:rPr>
        <w:t>.А</w:t>
      </w:r>
      <w:proofErr w:type="gramEnd"/>
      <w:r w:rsidRPr="00481B88">
        <w:rPr>
          <w:rFonts w:ascii="Times New Roman" w:hAnsi="Times New Roman" w:cs="Times New Roman"/>
          <w:color w:val="000000"/>
        </w:rPr>
        <w:t>буали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ибн </w:t>
      </w:r>
      <w:proofErr w:type="spellStart"/>
      <w:r w:rsidRPr="00481B88">
        <w:rPr>
          <w:rFonts w:ascii="Times New Roman" w:hAnsi="Times New Roman" w:cs="Times New Roman"/>
          <w:color w:val="000000"/>
        </w:rPr>
        <w:t>Сино</w:t>
      </w:r>
      <w:proofErr w:type="spellEnd"/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Оценка общепринятых практических установок к трахеотомии с учетом максималь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ного сохранения функционального состояния дыхательных путей, положительно влияющих на физические и психологические компоненты здоровья. </w:t>
      </w:r>
    </w:p>
    <w:p w:rsidR="00196F6D" w:rsidRPr="00481B88" w:rsidRDefault="00196F6D" w:rsidP="00196F6D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Материалом исследования послужили 37 пациентов, которым проведены трахеото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мии: мужчин -23 (62,2%), женщин – 9 (24,3%), детей до 14 лет – 5 (13,5%). В экстренном порядке трахеотомия наложена у 31 (83,8) пациента, в плановом порядке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-у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6 (16,2%). У 28 (75,7%) трахеотомия проведена под общим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эндотрахеальным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наркозом, у 9 (24,3%) -под местной анестезией. </w:t>
      </w:r>
    </w:p>
    <w:p w:rsidR="00196F6D" w:rsidRPr="00481B88" w:rsidRDefault="00196F6D" w:rsidP="00196F6D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>Показаниями к операции являлись угрожающие жизни пациентов разной этиологии, для временного обе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спечения адекватной поддержки дыхания. </w:t>
      </w:r>
    </w:p>
    <w:p w:rsidR="00196F6D" w:rsidRPr="00481B88" w:rsidRDefault="00196F6D" w:rsidP="00196F6D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Во всех случаях трахеотомию проводили общепринятыми способами. Большинство трахеотомий -26 (70,3%) -произведены в первые трое суток с момента поступления больных в стационары.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Нижняя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трахеостомия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выпол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нена 29 (78,4%) больным, средняя – 4 (10,8%), верхняя – 4 (10,8%). Чаще с целью предупреждения развития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постинтуба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>ционных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осложнений трахеотомию накладывали на 3-5 сутки после пролонгированной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оротрахеальной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интубации. </w:t>
      </w:r>
    </w:p>
    <w:p w:rsidR="00196F6D" w:rsidRPr="00481B88" w:rsidRDefault="00196F6D" w:rsidP="00196F6D">
      <w:pPr>
        <w:pStyle w:val="Pa21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У 6 (16,2%) пациентов развились осложнения, из них ранние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-у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4 (10,8%), поздние -у 2 (5,4%). Причинами, в основ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ном, явились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неукомплектованность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трахеотомических наборов и неправильный подбор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трахеоканюли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>, топографо-а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натомические варианты органов шеи и сама структура шеи (короткая и толстая), состояние и возраст больного и др.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Показаниями к трахеотомии являются самые разные причины и лечебные мероприятия, направленные на временное обеспечение адекватной поддержки дыхания, выполнение процедуры требует определенных навыков, а качество и исход во многом зависят от уровня оснащенности.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трахеотомия, </w:t>
      </w:r>
      <w:proofErr w:type="spellStart"/>
      <w:r w:rsidRPr="00481B88">
        <w:rPr>
          <w:rStyle w:val="A7"/>
          <w:rFonts w:ascii="Times New Roman" w:hAnsi="Times New Roman" w:cs="Times New Roman"/>
        </w:rPr>
        <w:t>трахеостомический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 набор, </w:t>
      </w:r>
      <w:proofErr w:type="spellStart"/>
      <w:r w:rsidRPr="00481B88">
        <w:rPr>
          <w:rStyle w:val="A7"/>
          <w:rFonts w:ascii="Times New Roman" w:hAnsi="Times New Roman" w:cs="Times New Roman"/>
        </w:rPr>
        <w:t>трахеоканюли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</w:t>
      </w:r>
      <w:proofErr w:type="spellStart"/>
      <w:r w:rsidRPr="00481B88">
        <w:rPr>
          <w:rStyle w:val="A7"/>
          <w:rFonts w:ascii="Times New Roman" w:hAnsi="Times New Roman" w:cs="Times New Roman"/>
        </w:rPr>
        <w:t>деканюляция</w:t>
      </w:r>
      <w:proofErr w:type="spellEnd"/>
      <w:r w:rsidRPr="00481B88">
        <w:rPr>
          <w:rStyle w:val="A7"/>
          <w:rFonts w:ascii="Times New Roman" w:hAnsi="Times New Roman" w:cs="Times New Roman"/>
        </w:rPr>
        <w:t>, дыхательная недоста</w:t>
      </w:r>
      <w:r w:rsidRPr="00481B88">
        <w:rPr>
          <w:rStyle w:val="A7"/>
          <w:rFonts w:ascii="Times New Roman" w:hAnsi="Times New Roman" w:cs="Times New Roman"/>
        </w:rPr>
        <w:softHyphen/>
        <w:t>точность, осложнения, профилактика</w:t>
      </w:r>
    </w:p>
    <w:p w:rsidR="00196F6D" w:rsidRPr="00481B88" w:rsidRDefault="00196F6D" w:rsidP="00196F6D">
      <w:pPr>
        <w:pStyle w:val="Pa22"/>
        <w:rPr>
          <w:rFonts w:ascii="Times New Roman" w:hAnsi="Times New Roman" w:cs="Times New Roman"/>
          <w:color w:val="000000"/>
          <w:sz w:val="22"/>
          <w:szCs w:val="22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Рабиев Х.Х.,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Сироджов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К.Х. </w:t>
      </w:r>
    </w:p>
    <w:p w:rsidR="00196F6D" w:rsidRPr="00481B88" w:rsidRDefault="00196F6D" w:rsidP="00196F6D">
      <w:pPr>
        <w:pStyle w:val="Pa20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ПРЕИМУЩЕСТВА ПЕРВИЧНОЙ АРТРОПЛАСТИКИ ТАЗОБЕДРЕННОГО СУСТАВА ПРИ ТРАВМАТИЧЕСКИХ ПОВРЕЖДЕНИЯХ ПРОКСИМАЛЬНОГО КОНЦА БЕДРЕННОЙ КОСТИ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</w:rPr>
        <w:t>Кафедра травматологии и ортопедии ГОУ «Институт последипломного образования в сфере здравоохранения Республики Таджикистан»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Дать сравнительную оценку результатов лечения пациентов по технологии артро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пластики после перелома проксимального конца бедренной кости.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В исследование включены 69 больных с переломами проксимального отдела бедренной кости, мужчин -28 (40,6%), женщин -41 (59,4%).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Для сравнительной оценки больных разделили на 2 группы: в первую, основную, группу вошли 37 (53,6%) больных, которым произведена первичная артропластика, во вторую, контрольную, –32 (46,4%) пациента, которым лечение переломов проведено традиционно.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Первичная артропластика произведена в 37 (53,6%) случаях, традиционный остеосинтез – в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32 (46,4%). В отдаленном периоде отличные результаты лечения по шкале Харриса (90-99 баллов) получены у 83,8% пациентов основной группы, хорошие (80-89 баллов) соответственно у 13,5% и 65,6%, удовлетворительные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результаты достигнуты соответственно в 2,7 и 21,8% случаях, и неудовлетворительные (&lt;70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баллов) 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результаты лечения отмечены у 15,6% пациентов контрольной группы.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Первичная артропластика тазобедренного сустава при переломах проксимального конца бедренной кости является методом выбора, восстанавливает биомеханику конечности, минимизи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рует осложнения, связанные с гиподинамией, эффективно влияет на выздоровление и трудоспособность пострадавших.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>артропластика, перелом, остеосинтез, повреждения, лечение, операция, травма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Саидмурадова Р.Х.,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Махкамов К.К.,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Таварова Н.Х., 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Ходжибекова Н.А.,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Олимова Ф.К. </w:t>
      </w:r>
    </w:p>
    <w:p w:rsidR="00196F6D" w:rsidRPr="00481B88" w:rsidRDefault="00196F6D" w:rsidP="00196F6D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СОВРЕМЕННАЯ СТРАТЕГИЯ УЛУЧШЕНИЯ ЗДОРОВЬЯ НЕДОНОШЕННЫХ ДЕТЕЙ 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Кафедра </w:t>
      </w:r>
      <w:proofErr w:type="spellStart"/>
      <w:r w:rsidRPr="00481B88">
        <w:rPr>
          <w:rFonts w:ascii="Times New Roman" w:hAnsi="Times New Roman" w:cs="Times New Roman"/>
          <w:color w:val="000000"/>
        </w:rPr>
        <w:t>неонатологии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ГОУ </w:t>
      </w:r>
      <w:proofErr w:type="spellStart"/>
      <w:r w:rsidRPr="00481B88">
        <w:rPr>
          <w:rFonts w:ascii="Times New Roman" w:hAnsi="Times New Roman" w:cs="Times New Roman"/>
          <w:color w:val="000000"/>
        </w:rPr>
        <w:t>ИПОвСЗ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2</w:t>
      </w:r>
      <w:r w:rsidRPr="00481B88">
        <w:rPr>
          <w:rFonts w:ascii="Times New Roman" w:hAnsi="Times New Roman" w:cs="Times New Roman"/>
          <w:color w:val="000000"/>
        </w:rPr>
        <w:t xml:space="preserve">Кафедра педиатрии ГОУ ТГМУ им. Абуали ибн </w:t>
      </w:r>
      <w:proofErr w:type="spellStart"/>
      <w:r w:rsidRPr="00481B88">
        <w:rPr>
          <w:rFonts w:ascii="Times New Roman" w:hAnsi="Times New Roman" w:cs="Times New Roman"/>
          <w:color w:val="000000"/>
        </w:rPr>
        <w:t>Сино</w:t>
      </w:r>
      <w:proofErr w:type="spellEnd"/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Определить значимые медико-организационные факторы, влияющие на рождение недоношенного ребёнка. Оценить уровень выживаемости недоношенных детей в зависимости от уровня про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филактики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дистресс-синдрома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Объектом исследования были 136 детей в сроке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гестации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от 23 до 34 недель и их матери, которым было необходимо провести профилактику респираторного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дистресс-синдрома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(РДС).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Выявлены наиболее значимые медико-организационные факторы преждевременных родов: тяжёлые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гестозы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беременных, внутриутробные инфекции, плацентарные кровотечения, которые привели к развитию внутриутробной гипоксии и осложнений в виде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малосовместимых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с жизнью респираторного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дис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>тресс-синдрома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и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внутрижелудочковых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кровоизлияний.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Выявлена прямая корреляция эффективной антенатальной профилактики РДС от срока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гестации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беременной и полного проведения дородовой профилактики РДС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стероидными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препаратами.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Руководящими принципами улучшения результатов преждевременных родов являются ключевые мероприятия, которые могут улучшить шансы для выживания и поднятия показателей здоровья недоношенных детей, включающие мероприятия для матери (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стероидные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инъекции перед родами) и ме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роприятия для новорожденных (термальный уход (терморегуляция), поддержка кормления, безопасное использование кислорода, облегчающее дыхание ребёнка).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новорожденный, недоношенный, профилактика, преждевременные роды, срок </w:t>
      </w:r>
      <w:proofErr w:type="spellStart"/>
      <w:r w:rsidRPr="00481B88">
        <w:rPr>
          <w:rStyle w:val="A7"/>
          <w:rFonts w:ascii="Times New Roman" w:hAnsi="Times New Roman" w:cs="Times New Roman"/>
        </w:rPr>
        <w:t>гестации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</w:t>
      </w:r>
      <w:proofErr w:type="spellStart"/>
      <w:r w:rsidRPr="00481B88">
        <w:rPr>
          <w:rStyle w:val="A7"/>
          <w:rFonts w:ascii="Times New Roman" w:hAnsi="Times New Roman" w:cs="Times New Roman"/>
        </w:rPr>
        <w:t>дис</w:t>
      </w:r>
      <w:r w:rsidRPr="00481B88">
        <w:rPr>
          <w:rStyle w:val="A7"/>
          <w:rFonts w:ascii="Times New Roman" w:hAnsi="Times New Roman" w:cs="Times New Roman"/>
        </w:rPr>
        <w:softHyphen/>
        <w:t>тресс-синдром</w:t>
      </w:r>
      <w:proofErr w:type="spellEnd"/>
      <w:r w:rsidRPr="00481B88">
        <w:rPr>
          <w:rStyle w:val="A7"/>
          <w:rFonts w:ascii="Times New Roman" w:hAnsi="Times New Roman" w:cs="Times New Roman"/>
        </w:rPr>
        <w:t>, выживаемость</w:t>
      </w:r>
    </w:p>
    <w:p w:rsidR="00196F6D" w:rsidRPr="00481B88" w:rsidRDefault="00196F6D" w:rsidP="00196F6D">
      <w:pPr>
        <w:pStyle w:val="Pa22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Сироджов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К.Х., Сафаров А.Х. </w:t>
      </w:r>
    </w:p>
    <w:p w:rsidR="00196F6D" w:rsidRPr="00481B88" w:rsidRDefault="00196F6D" w:rsidP="00196F6D">
      <w:pPr>
        <w:pStyle w:val="Pa20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ПРЕИМУШЕТСВА ПЛАСТИНЫ С УГЛОВОЙ СТАБИЛЬНОСТЬЮ ПРИ ОСТЕОСИНТЕЗЕ ВНУТРИСУСТАВНОГО ПЕРЕЛОМА ДИСТАЛЬНОГО ОТДЕЛА БЕДРА У БОЛЬНЫХ С МНОЖЕСТВЕННОЙ ТРАВМОЙ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</w:rPr>
        <w:t>Кафедра травматологии и ортопедии ГОУ «Институт последипломного образования в сфере здравоохранения Республики Таджикистан»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lastRenderedPageBreak/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Оптимизация хирургического лечения внутрисуставного перелома дистального отдела бедренной кости у больных с множественной травмой.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Проанализированы результаты диагностики и лечения 67 пациентов с множественными травмами опорно-двигательного аппарата за период 2015-2019 гг.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  <w:sz w:val="17"/>
          <w:szCs w:val="17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Благодаря использованию щадящих способов остеосинтеза, в частности пластины с угловой стабиль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>ностью, в остром периоде травмы удалось оптимизировать лечение внутрисуставных переломов дистального отдела бедренной кости, уменьшить число ранних осложнений, что способствовало снижению неудовлетворительных резуль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татов лечения. Число хороших функциональных результатов лечения (&gt; 85 баллов по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Маттису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) переломов возросло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до 19,9% (соответственно 65,6% и 45,7%), удовлетворительных (71-85 баллов) – снижено на 5,9% (соответственно 31,2% и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37,1%), неудовлетворительных (&lt;70 баллов) – снижено на 14% (соответственно 3,2% и 17,2%) больных.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Положительный эффект результатов лечения больных основной группы обусловлен ранней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верти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>кализацией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пострадавших, ранней нагрузкой на оперированную конечность и активное движение в суставах.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травма, пострадавших, шок, перелом, осложнения, стабильный, </w:t>
      </w:r>
      <w:proofErr w:type="spellStart"/>
      <w:r w:rsidRPr="00481B88">
        <w:rPr>
          <w:rStyle w:val="A7"/>
          <w:rFonts w:ascii="Times New Roman" w:hAnsi="Times New Roman" w:cs="Times New Roman"/>
        </w:rPr>
        <w:t>малоинвазивный</w:t>
      </w:r>
      <w:proofErr w:type="spellEnd"/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Тагоев С.М.,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Каюмов Ф.Т.,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3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Бандаев И.С.,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4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Хакназаров И.А. </w:t>
      </w:r>
    </w:p>
    <w:p w:rsidR="00196F6D" w:rsidRPr="00481B88" w:rsidRDefault="00196F6D" w:rsidP="00196F6D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ЗАБОЛЕВАЕМОСТЬ САХАРНЫМ ДИАБЕТОМ ДЕТЕЙ И ПОДРОСТКОВ КАК МЕДИКО-СОЦИАЛЬНАЯ ПРОБЛЕМА В РЕСПУБЛИКЕ ТАДЖИКИСТАН 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ГУ «Республиканский клинический центр эндокринологии» </w:t>
      </w:r>
      <w:proofErr w:type="spellStart"/>
      <w:r w:rsidRPr="00481B88">
        <w:rPr>
          <w:rFonts w:ascii="Times New Roman" w:hAnsi="Times New Roman" w:cs="Times New Roman"/>
          <w:color w:val="000000"/>
        </w:rPr>
        <w:t>МЗиСЗН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2</w:t>
      </w:r>
      <w:r w:rsidRPr="00481B88">
        <w:rPr>
          <w:rFonts w:ascii="Times New Roman" w:hAnsi="Times New Roman" w:cs="Times New Roman"/>
          <w:color w:val="000000"/>
        </w:rPr>
        <w:t xml:space="preserve">ГОУ «Республиканский медицинский колледж» </w:t>
      </w:r>
      <w:proofErr w:type="spellStart"/>
      <w:r w:rsidRPr="00481B88">
        <w:rPr>
          <w:rFonts w:ascii="Times New Roman" w:hAnsi="Times New Roman" w:cs="Times New Roman"/>
          <w:color w:val="000000"/>
        </w:rPr>
        <w:t>МЗиСЗН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3</w:t>
      </w:r>
      <w:r w:rsidRPr="00481B88">
        <w:rPr>
          <w:rFonts w:ascii="Times New Roman" w:hAnsi="Times New Roman" w:cs="Times New Roman"/>
          <w:color w:val="000000"/>
        </w:rPr>
        <w:t xml:space="preserve">ГУ «Республиканский центр семейной медицины» </w:t>
      </w:r>
      <w:proofErr w:type="spellStart"/>
      <w:r w:rsidRPr="00481B88">
        <w:rPr>
          <w:rFonts w:ascii="Times New Roman" w:hAnsi="Times New Roman" w:cs="Times New Roman"/>
          <w:color w:val="000000"/>
        </w:rPr>
        <w:t>МЗиСЗН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4</w:t>
      </w:r>
      <w:r w:rsidRPr="00481B88">
        <w:rPr>
          <w:rFonts w:ascii="Times New Roman" w:hAnsi="Times New Roman" w:cs="Times New Roman"/>
          <w:color w:val="000000"/>
        </w:rPr>
        <w:t xml:space="preserve">Городской центр здоровья №14 УЗ </w:t>
      </w:r>
      <w:proofErr w:type="gramStart"/>
      <w:r w:rsidRPr="00481B88">
        <w:rPr>
          <w:rFonts w:ascii="Times New Roman" w:hAnsi="Times New Roman" w:cs="Times New Roman"/>
          <w:color w:val="000000"/>
        </w:rPr>
        <w:t>г</w:t>
      </w:r>
      <w:proofErr w:type="gramEnd"/>
      <w:r w:rsidRPr="00481B88">
        <w:rPr>
          <w:rFonts w:ascii="Times New Roman" w:hAnsi="Times New Roman" w:cs="Times New Roman"/>
          <w:color w:val="000000"/>
        </w:rPr>
        <w:t>. Душанбе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Цель исследования.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Изучить и оценить заболеваемость сахарным диабетом детей и подростков в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Респ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у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>-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блике Таджикистан. </w:t>
      </w: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Материал и методы.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Изучено 180 амбулаторных карт детей и подростков, страдающих сахарным диабетом. Также изучены материалы отчетов Государственной службы медико-социальной экспертизы Хатлонской области за период 2015-2019 года по первичной инвалидности при сахарном диабете. </w:t>
      </w: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Результаты.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>Согласно отраслевой статистике, по Республике Таджикистан в 2015 году зарегистрировано 34305 больных диабетом, из них 570 – дети и подростки. В 2016 году их количество увеличилось до 38203, из них дети – 720, в 2017 году до 41690, из них дети – 773; в 2018 году – 44018 взрослых и 795 детей, в 2019 году 46258 взрослых и 876 детей. Количество больных с сахарным диабетом 1 и 2 типа, находящихся на инсулинотерапии в 2015 году составляло 3359 человек, а на 2019 год их количество возросло до 7877 человек. Среди детей и подростков при наблюдении, отмечено увеличенное количество потребления картофеля, хлебобулочных и макаронных изделий и риса, при недостаточном содержании в пищевом рационе овощей, фруктов, молока и молочнокислых продуктов, яиц и белков животного происхождения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.. </w:t>
      </w:r>
      <w:proofErr w:type="gramEnd"/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Заключение.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В Таджикистане отмечается некоторый рост заболеваемости сахарным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</w:rPr>
        <w:t>диабетом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как среди взрослых, так и среди детей. Развитие классических сосудистых осложнений сахарного диабета диабетической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нейропатии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, нефропатии,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ретинопатии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связано с поражением центральной нервной системы и с социальными, экологическими и другими внешними факторами.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Семейнобытовые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проблемы, бедность, хронические стрессы негативно влияют на здоровья населения, прежде всего, нервной системы детей, что может послужить пусковым механизмом, провоцирующим развитие диабета.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>детское население, заболеваемость, сахарный диабет, потеря здоровья, инвалидность</w:t>
      </w:r>
    </w:p>
    <w:p w:rsidR="00DF5E95" w:rsidRPr="00481B88" w:rsidRDefault="00DF5E95" w:rsidP="00DF5E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ОБЗОРЫ ЛИТЕРАТУРЫ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Абдурахманова Р.Ф.,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Иззатов Х.Н.,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Файзуллоев А.Х.,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Раджабов Р.М. </w:t>
      </w:r>
    </w:p>
    <w:p w:rsidR="00196F6D" w:rsidRPr="00481B88" w:rsidRDefault="00196F6D" w:rsidP="00196F6D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РОЛЬ СТАТИНОВ В ПРОФИЛАКТИКЕ ЦЕРЕБРОВАСКУЛЯРНЫХ ОСЛОЖНЕНИЙ 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Кафедра неврологии и медицинской генетики ГОУ </w:t>
      </w:r>
      <w:proofErr w:type="spellStart"/>
      <w:r w:rsidRPr="00481B88">
        <w:rPr>
          <w:rFonts w:ascii="Times New Roman" w:hAnsi="Times New Roman" w:cs="Times New Roman"/>
          <w:color w:val="000000"/>
        </w:rPr>
        <w:t>ИПОвСЗ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2</w:t>
      </w:r>
      <w:r w:rsidRPr="00481B88">
        <w:rPr>
          <w:rFonts w:ascii="Times New Roman" w:hAnsi="Times New Roman" w:cs="Times New Roman"/>
          <w:color w:val="000000"/>
        </w:rPr>
        <w:t xml:space="preserve">Кафедра </w:t>
      </w:r>
      <w:proofErr w:type="spellStart"/>
      <w:r w:rsidRPr="00481B88">
        <w:rPr>
          <w:rFonts w:ascii="Times New Roman" w:hAnsi="Times New Roman" w:cs="Times New Roman"/>
          <w:color w:val="000000"/>
        </w:rPr>
        <w:t>кардиоревматологии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ГОУ </w:t>
      </w:r>
      <w:proofErr w:type="spellStart"/>
      <w:r w:rsidRPr="00481B88">
        <w:rPr>
          <w:rFonts w:ascii="Times New Roman" w:hAnsi="Times New Roman" w:cs="Times New Roman"/>
          <w:color w:val="000000"/>
        </w:rPr>
        <w:t>ИПОвСЗ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Аннотация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В статье представлены сведения о роли нарушений липидного обмена, атеросклероза в возникновении цереброваскулярных осложнений. Как известно, нарушения липидного обмена относятся к важным и моди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фицируемым факторам риска развития цереброваскулярных осложнений. В связи с чем, с целью коррекции данного предиктора приведены рекомендации по применению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статинов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в целях профилактики как первичного, так и вторичного инсульта.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профилактика, риск, </w:t>
      </w:r>
      <w:proofErr w:type="spellStart"/>
      <w:r w:rsidRPr="00481B88">
        <w:rPr>
          <w:rStyle w:val="A7"/>
          <w:rFonts w:ascii="Times New Roman" w:hAnsi="Times New Roman" w:cs="Times New Roman"/>
        </w:rPr>
        <w:t>гиполипидемическая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 терапия, </w:t>
      </w:r>
      <w:proofErr w:type="spellStart"/>
      <w:r w:rsidRPr="00481B88">
        <w:rPr>
          <w:rStyle w:val="A7"/>
          <w:rFonts w:ascii="Times New Roman" w:hAnsi="Times New Roman" w:cs="Times New Roman"/>
        </w:rPr>
        <w:t>статины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, </w:t>
      </w:r>
      <w:proofErr w:type="spellStart"/>
      <w:r w:rsidRPr="00481B88">
        <w:rPr>
          <w:rStyle w:val="A7"/>
          <w:rFonts w:ascii="Times New Roman" w:hAnsi="Times New Roman" w:cs="Times New Roman"/>
        </w:rPr>
        <w:t>дислипидемия</w:t>
      </w:r>
      <w:proofErr w:type="spellEnd"/>
      <w:r w:rsidRPr="00481B88">
        <w:rPr>
          <w:rStyle w:val="A7"/>
          <w:rFonts w:ascii="Times New Roman" w:hAnsi="Times New Roman" w:cs="Times New Roman"/>
        </w:rPr>
        <w:t>, ишемический инсульт, эндотелий</w:t>
      </w:r>
    </w:p>
    <w:p w:rsidR="00196F6D" w:rsidRPr="00481B88" w:rsidRDefault="00196F6D" w:rsidP="00196F6D">
      <w:pPr>
        <w:pStyle w:val="Pa22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Гаибов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А.Г.,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Каюмов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Ф.Дж., Мирзоев М.Т., </w:t>
      </w:r>
      <w:proofErr w:type="spellStart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Холматов</w:t>
      </w:r>
      <w:proofErr w:type="spellEnd"/>
      <w:r w:rsidRPr="00481B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У.И. </w:t>
      </w:r>
    </w:p>
    <w:p w:rsidR="00196F6D" w:rsidRPr="00481B88" w:rsidRDefault="00196F6D" w:rsidP="00196F6D">
      <w:pPr>
        <w:pStyle w:val="Pa20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СОВРЕМЕННЫЕ НАПРАВЛЕНИЯ И ПУТИ СОВЕРШЕНСТВОВАНИЯ МЕДИКО-СОЦИАЛЬНОЙ ЭКСПЕРТИЗЫ И РЕАБИЛИТАЦИИ ИНВАЛИДОВ В ТАДЖИКИСТАНЕ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</w:rPr>
        <w:t xml:space="preserve">ГУ «НИИ медико-социальной экспертизы и реабилитации инвалидов» </w:t>
      </w:r>
      <w:proofErr w:type="spellStart"/>
      <w:r w:rsidRPr="00481B88">
        <w:rPr>
          <w:rFonts w:ascii="Times New Roman" w:hAnsi="Times New Roman" w:cs="Times New Roman"/>
          <w:color w:val="000000"/>
        </w:rPr>
        <w:t>МЗиСЗН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РТ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Аннотация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i w:val="0"/>
          <w:iCs w:val="0"/>
        </w:rPr>
        <w:t>В Таджикистане зарегистрировано более 146 тыс. человек с ограниченными возможностями, в т.ч. более 27 тыс. детей. Инвалидность больше распространена среди бедных слоев населения, нуждающихся в реа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softHyphen/>
        <w:t xml:space="preserve">билитации своих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</w:rPr>
        <w:t>биосоциальных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 функций, что отражается на состоянии общественного здоровья.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Основные принципы реабилитации: раннее начало, непрерывность, комплексность, индивидуальность, </w:t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динамичность и завершенность. Многие учреждения медико-социальной службы не могут оказывать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реабилитационные услуги инвалидам в соответствующем объеме. Большую роль в проведении этих меж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</w:r>
      <w:r w:rsidRPr="00481B88">
        <w:rPr>
          <w:rStyle w:val="A7"/>
          <w:rFonts w:ascii="Times New Roman" w:hAnsi="Times New Roman" w:cs="Times New Roman"/>
          <w:i w:val="0"/>
          <w:iCs w:val="0"/>
        </w:rPr>
        <w:t xml:space="preserve">дисциплинарных мероприятий принадлежит Государственной службе медико-социальной экспертизы, в работе которой отмечаются определенные трудности, связанные с социально-экономической ситуацией в 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стране, осуществляющей переход к социальной модели </w:t>
      </w:r>
      <w:proofErr w:type="spellStart"/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инвалидно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сти</w:t>
      </w:r>
      <w:proofErr w:type="spellEnd"/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>инвалидность, факторы риска, медицинская и социальная экспертиза, реабилитация, обще</w:t>
      </w:r>
      <w:r w:rsidRPr="00481B88">
        <w:rPr>
          <w:rStyle w:val="A7"/>
          <w:rFonts w:ascii="Times New Roman" w:hAnsi="Times New Roman" w:cs="Times New Roman"/>
        </w:rPr>
        <w:softHyphen/>
        <w:t>ственное здоровье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Одинаев И.И.,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Шокиров М.К.,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Ёраков Ф.М. </w:t>
      </w:r>
    </w:p>
    <w:p w:rsidR="00196F6D" w:rsidRPr="00481B88" w:rsidRDefault="00196F6D" w:rsidP="00196F6D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ВОПРОСУ О РАЗВИТИИ ПОСЛЕОПЕРАЦИОННЫХ ОСЛОЖНЕНИЙ ПРИ ИСПОЛЬЗОВАНИИ СОВРЕМЕННЫХ ТЕХНОЛОГИЙ НАКОСТНОГО ОСТЕОСИНТЕЗА НИЖНЕЙ ЧЕЛЮСТИ 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Кафедра челюстно-лицевой хирургии ГОУ ТГМУ им. Абуали ибн </w:t>
      </w:r>
      <w:proofErr w:type="spellStart"/>
      <w:r w:rsidRPr="00481B88">
        <w:rPr>
          <w:rFonts w:ascii="Times New Roman" w:hAnsi="Times New Roman" w:cs="Times New Roman"/>
          <w:color w:val="000000"/>
        </w:rPr>
        <w:t>Сино</w:t>
      </w:r>
      <w:proofErr w:type="spellEnd"/>
      <w:r w:rsidRPr="00481B88">
        <w:rPr>
          <w:rFonts w:ascii="Times New Roman" w:hAnsi="Times New Roman" w:cs="Times New Roman"/>
          <w:color w:val="000000"/>
        </w:rPr>
        <w:t xml:space="preserve">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2</w:t>
      </w:r>
      <w:r w:rsidRPr="00481B88">
        <w:rPr>
          <w:rFonts w:ascii="Times New Roman" w:hAnsi="Times New Roman" w:cs="Times New Roman"/>
          <w:color w:val="000000"/>
        </w:rPr>
        <w:t xml:space="preserve">Кафедра терапевтической стоматологии ГОУ ТГМУ им. Абуали ибн </w:t>
      </w:r>
      <w:proofErr w:type="spellStart"/>
      <w:r w:rsidRPr="00481B88">
        <w:rPr>
          <w:rFonts w:ascii="Times New Roman" w:hAnsi="Times New Roman" w:cs="Times New Roman"/>
          <w:color w:val="000000"/>
        </w:rPr>
        <w:t>Сино</w:t>
      </w:r>
      <w:proofErr w:type="spellEnd"/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Аннотация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В статье представлены результаты аналитической оценки литературных источников по поводу осложнений, развившихся после оперативного лечения переломов нижней челюсти, с использованием технологий накостного остеосинтеза. Утверждается, что реальный процент послеоперационных осложнений при использовании на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костного остеосинтеза нижней челюсти сохраняется на достаточно высоком уровне. Обоснована необходимость внедрения регламентирующих правил оперативного лечения данной категории пациентов, обоснованных с позиций доказательной медицины. </w:t>
      </w:r>
    </w:p>
    <w:p w:rsidR="00196F6D" w:rsidRPr="00481B88" w:rsidRDefault="00196F6D" w:rsidP="00196F6D">
      <w:pPr>
        <w:jc w:val="both"/>
        <w:rPr>
          <w:rStyle w:val="A7"/>
          <w:rFonts w:ascii="Times New Roman" w:hAnsi="Times New Roman" w:cs="Times New Roman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нижняя челюсть, послеоперационное осложнение, остеосинтез, </w:t>
      </w:r>
      <w:proofErr w:type="spellStart"/>
      <w:proofErr w:type="gramStart"/>
      <w:r w:rsidRPr="00481B88">
        <w:rPr>
          <w:rStyle w:val="A7"/>
          <w:rFonts w:ascii="Times New Roman" w:hAnsi="Times New Roman" w:cs="Times New Roman"/>
        </w:rPr>
        <w:t>современн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481B88">
        <w:rPr>
          <w:rStyle w:val="A7"/>
          <w:rFonts w:ascii="Times New Roman" w:hAnsi="Times New Roman" w:cs="Times New Roman"/>
        </w:rPr>
        <w:t>ая</w:t>
      </w:r>
      <w:proofErr w:type="spellEnd"/>
      <w:proofErr w:type="gramEnd"/>
      <w:r w:rsidRPr="00481B88">
        <w:rPr>
          <w:rStyle w:val="A7"/>
          <w:rFonts w:ascii="Times New Roman" w:hAnsi="Times New Roman" w:cs="Times New Roman"/>
        </w:rPr>
        <w:t xml:space="preserve"> технология</w:t>
      </w:r>
    </w:p>
    <w:p w:rsidR="00196F6D" w:rsidRPr="00481B88" w:rsidRDefault="00196F6D" w:rsidP="00196F6D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Юсупов З.Я.,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Джураев Д.Э.,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Аминджанова З.Р., 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481B88">
        <w:rPr>
          <w:rFonts w:ascii="Times New Roman" w:hAnsi="Times New Roman" w:cs="Times New Roman"/>
          <w:b/>
          <w:bCs/>
          <w:i/>
          <w:iCs/>
          <w:color w:val="000000"/>
        </w:rPr>
        <w:t xml:space="preserve">Ашуров Г.Г. </w:t>
      </w:r>
    </w:p>
    <w:p w:rsidR="00196F6D" w:rsidRPr="00481B88" w:rsidRDefault="00196F6D" w:rsidP="00196F6D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ВОПРОСУ О ЗНАЧЕНИИ ГИГИЕНЫ ПОЛОСТИ РТА В КОМПЛЕКСНОЙ ПРОГРАММЕ ПРОФИЛАКТИКИ СТОМАТОЛОГИЧЕСКИХ ЗАБОЛЕВАНИЙ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color w:val="000000"/>
        </w:rPr>
      </w:pPr>
      <w:r w:rsidRPr="00481B88">
        <w:rPr>
          <w:rFonts w:ascii="Times New Roman" w:hAnsi="Times New Roman" w:cs="Times New Roman"/>
          <w:color w:val="000000"/>
          <w:sz w:val="12"/>
        </w:rPr>
        <w:t>1</w:t>
      </w:r>
      <w:r w:rsidRPr="00481B88">
        <w:rPr>
          <w:rFonts w:ascii="Times New Roman" w:hAnsi="Times New Roman" w:cs="Times New Roman"/>
          <w:color w:val="000000"/>
        </w:rPr>
        <w:t xml:space="preserve">ГУ «Научно-клинический институт стоматологии и </w:t>
      </w:r>
      <w:proofErr w:type="spellStart"/>
      <w:r w:rsidRPr="00481B88">
        <w:rPr>
          <w:rFonts w:ascii="Times New Roman" w:hAnsi="Times New Roman" w:cs="Times New Roman"/>
          <w:color w:val="000000"/>
        </w:rPr>
        <w:t>челюстно</w:t>
      </w:r>
      <w:proofErr w:type="spellEnd"/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81B88">
        <w:rPr>
          <w:rStyle w:val="A7"/>
          <w:rFonts w:ascii="Times New Roman" w:hAnsi="Times New Roman" w:cs="Times New Roman"/>
          <w:b/>
          <w:bCs/>
          <w:i w:val="0"/>
          <w:iCs w:val="0"/>
        </w:rPr>
        <w:t xml:space="preserve">Аннотация </w:t>
      </w:r>
    </w:p>
    <w:p w:rsidR="00196F6D" w:rsidRPr="00481B88" w:rsidRDefault="00196F6D" w:rsidP="00196F6D">
      <w:pPr>
        <w:pStyle w:val="Pa3"/>
        <w:ind w:firstLine="28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Гигиена полости рта является неотъемлемой составляющей профилактики стоматологических заболеваний. В современных условиях средства гигиены полости рта, содержащие в своем составе активные компоненты, играют все большую роль в лечении стоматологических заболеваний. Профессиональная гигиена полости рта является эффек</w:t>
      </w:r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softHyphen/>
        <w:t xml:space="preserve">тивным профилактическим мероприятием, позволяющим снизить прирост кариеса зубов, улучшить гигиенические навыки пациента, устранить </w:t>
      </w:r>
      <w:proofErr w:type="spell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назубные</w:t>
      </w:r>
      <w:proofErr w:type="spell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отложения, являющиеся депо микроорганизмов, </w:t>
      </w:r>
      <w:proofErr w:type="gramStart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>продукты</w:t>
      </w:r>
      <w:proofErr w:type="gramEnd"/>
      <w:r w:rsidRPr="00481B88">
        <w:rPr>
          <w:rStyle w:val="A7"/>
          <w:rFonts w:ascii="Times New Roman" w:hAnsi="Times New Roman" w:cs="Times New Roman"/>
          <w:i w:val="0"/>
          <w:iCs w:val="0"/>
          <w:sz w:val="17"/>
          <w:szCs w:val="17"/>
        </w:rPr>
        <w:t xml:space="preserve"> жизнедеятельности которых вызывают деминерализацию эмали зубов и развитие кариеса. </w:t>
      </w:r>
    </w:p>
    <w:p w:rsidR="00196F6D" w:rsidRPr="00481B88" w:rsidRDefault="00196F6D" w:rsidP="00196F6D">
      <w:pPr>
        <w:jc w:val="both"/>
        <w:rPr>
          <w:rFonts w:ascii="Times New Roman" w:hAnsi="Times New Roman" w:cs="Times New Roman"/>
          <w:sz w:val="28"/>
          <w:szCs w:val="28"/>
        </w:rPr>
      </w:pPr>
      <w:r w:rsidRPr="00481B88">
        <w:rPr>
          <w:rStyle w:val="A7"/>
          <w:rFonts w:ascii="Times New Roman" w:hAnsi="Times New Roman" w:cs="Times New Roman"/>
          <w:b/>
          <w:bCs/>
        </w:rPr>
        <w:t xml:space="preserve">Ключевые слова: </w:t>
      </w:r>
      <w:r w:rsidRPr="00481B88">
        <w:rPr>
          <w:rStyle w:val="A7"/>
          <w:rFonts w:ascii="Times New Roman" w:hAnsi="Times New Roman" w:cs="Times New Roman"/>
        </w:rPr>
        <w:t xml:space="preserve">гигиена полости рта, кариес, болезни пародонта, </w:t>
      </w:r>
      <w:proofErr w:type="spellStart"/>
      <w:r w:rsidRPr="00481B88">
        <w:rPr>
          <w:rStyle w:val="A7"/>
          <w:rFonts w:ascii="Times New Roman" w:hAnsi="Times New Roman" w:cs="Times New Roman"/>
        </w:rPr>
        <w:t>назубные</w:t>
      </w:r>
      <w:proofErr w:type="spellEnd"/>
      <w:r w:rsidRPr="00481B88">
        <w:rPr>
          <w:rStyle w:val="A7"/>
          <w:rFonts w:ascii="Times New Roman" w:hAnsi="Times New Roman" w:cs="Times New Roman"/>
        </w:rPr>
        <w:t xml:space="preserve"> отложения, традиционная гигиена, профессиональная гигиена</w:t>
      </w:r>
    </w:p>
    <w:sectPr w:rsidR="00196F6D" w:rsidRPr="0048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E95"/>
    <w:rsid w:val="00196F6D"/>
    <w:rsid w:val="00481B88"/>
    <w:rsid w:val="00D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DF5E95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8">
    <w:name w:val="A8"/>
    <w:uiPriority w:val="99"/>
    <w:rsid w:val="00DF5E95"/>
    <w:rPr>
      <w:rFonts w:cs="Palatino Linotype"/>
      <w:b/>
      <w:bCs/>
      <w:i/>
      <w:iCs/>
      <w:color w:val="000000"/>
      <w:sz w:val="12"/>
      <w:szCs w:val="12"/>
    </w:rPr>
  </w:style>
  <w:style w:type="paragraph" w:customStyle="1" w:styleId="Pa3">
    <w:name w:val="Pa3"/>
    <w:basedOn w:val="a"/>
    <w:next w:val="a"/>
    <w:uiPriority w:val="99"/>
    <w:rsid w:val="00DF5E95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7">
    <w:name w:val="A7"/>
    <w:uiPriority w:val="99"/>
    <w:rsid w:val="00DF5E95"/>
    <w:rPr>
      <w:rFonts w:cs="Palatino Linotype"/>
      <w:i/>
      <w:iCs/>
      <w:color w:val="000000"/>
      <w:sz w:val="18"/>
      <w:szCs w:val="18"/>
    </w:rPr>
  </w:style>
  <w:style w:type="paragraph" w:customStyle="1" w:styleId="Pa21">
    <w:name w:val="Pa21"/>
    <w:basedOn w:val="a"/>
    <w:next w:val="a"/>
    <w:uiPriority w:val="99"/>
    <w:rsid w:val="00DF5E95"/>
    <w:pPr>
      <w:autoSpaceDE w:val="0"/>
      <w:autoSpaceDN w:val="0"/>
      <w:adjustRightInd w:val="0"/>
      <w:spacing w:after="0" w:line="201" w:lineRule="atLeast"/>
    </w:pPr>
    <w:rPr>
      <w:rFonts w:ascii="Palatino Linotype" w:hAnsi="Palatino Linotype"/>
      <w:sz w:val="24"/>
      <w:szCs w:val="24"/>
    </w:rPr>
  </w:style>
  <w:style w:type="paragraph" w:customStyle="1" w:styleId="Pa22">
    <w:name w:val="Pa22"/>
    <w:basedOn w:val="a"/>
    <w:next w:val="a"/>
    <w:uiPriority w:val="99"/>
    <w:rsid w:val="00DF5E95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paragraph" w:customStyle="1" w:styleId="Pa20">
    <w:name w:val="Pa20"/>
    <w:basedOn w:val="a"/>
    <w:next w:val="a"/>
    <w:uiPriority w:val="99"/>
    <w:rsid w:val="00DF5E95"/>
    <w:pPr>
      <w:autoSpaceDE w:val="0"/>
      <w:autoSpaceDN w:val="0"/>
      <w:adjustRightInd w:val="0"/>
      <w:spacing w:after="0" w:line="281" w:lineRule="atLeast"/>
    </w:pPr>
    <w:rPr>
      <w:rFonts w:ascii="Palatino Linotype" w:hAnsi="Palatino Linotype"/>
      <w:sz w:val="24"/>
      <w:szCs w:val="24"/>
    </w:rPr>
  </w:style>
  <w:style w:type="character" w:customStyle="1" w:styleId="A12">
    <w:name w:val="A12"/>
    <w:uiPriority w:val="99"/>
    <w:rsid w:val="00196F6D"/>
    <w:rPr>
      <w:rFonts w:cs="Palatino Linotype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2021-04-22T09:31:00Z</dcterms:created>
  <dcterms:modified xsi:type="dcterms:W3CDTF">2021-04-22T09:54:00Z</dcterms:modified>
</cp:coreProperties>
</file>